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D" w:rsidRDefault="0057383D">
      <w:pPr>
        <w:spacing w:after="22" w:line="259" w:lineRule="auto"/>
        <w:ind w:left="0" w:right="6" w:firstLine="0"/>
        <w:jc w:val="center"/>
      </w:pPr>
      <w:r>
        <w:rPr>
          <w:b/>
          <w:u w:val="single" w:color="000000"/>
        </w:rPr>
        <w:t>INSTRUCTIVO PARA CERTIFICADO DE APTITUD DE ENVASE</w:t>
      </w:r>
      <w:r>
        <w:t xml:space="preserve"> </w:t>
      </w:r>
    </w:p>
    <w:p w:rsidR="00280E5D" w:rsidRDefault="0057383D">
      <w:pPr>
        <w:spacing w:after="53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pStyle w:val="Ttulo1"/>
      </w:pPr>
      <w:r>
        <w:t>SE DEBE LEER EL DOCUMENTO EN FORMA COMPLETA</w:t>
      </w:r>
      <w:r>
        <w:rPr>
          <w:color w:val="000000"/>
        </w:rPr>
        <w:t xml:space="preserve"> </w:t>
      </w:r>
    </w:p>
    <w:p w:rsidR="00280E5D" w:rsidRDefault="0057383D">
      <w:pPr>
        <w:spacing w:after="51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spacing w:after="90" w:line="259" w:lineRule="auto"/>
        <w:ind w:left="-5"/>
        <w:jc w:val="left"/>
      </w:pPr>
      <w:r>
        <w:t xml:space="preserve"> </w:t>
      </w:r>
      <w:r>
        <w:rPr>
          <w:b/>
          <w:u w:val="single" w:color="000000"/>
        </w:rPr>
        <w:t>FORMA DE PRESENTACIÓN DE LA DOCUMENTACIÓN</w:t>
      </w:r>
      <w:r>
        <w:t xml:space="preserve"> </w:t>
      </w:r>
    </w:p>
    <w:p w:rsidR="00280E5D" w:rsidRDefault="0057383D">
      <w:pPr>
        <w:numPr>
          <w:ilvl w:val="0"/>
          <w:numId w:val="1"/>
        </w:numPr>
        <w:spacing w:after="160" w:line="259" w:lineRule="auto"/>
        <w:ind w:hanging="360"/>
      </w:pPr>
      <w:r>
        <w:t xml:space="preserve">La documentación solicitada deberá estar impresa en </w:t>
      </w:r>
      <w:r>
        <w:rPr>
          <w:b/>
        </w:rPr>
        <w:t>hojas A4</w:t>
      </w:r>
      <w:r>
        <w:t xml:space="preserve">. </w:t>
      </w:r>
    </w:p>
    <w:p w:rsidR="00280E5D" w:rsidRDefault="0057383D">
      <w:pPr>
        <w:numPr>
          <w:ilvl w:val="0"/>
          <w:numId w:val="1"/>
        </w:numPr>
        <w:spacing w:after="160" w:line="259" w:lineRule="auto"/>
        <w:ind w:hanging="360"/>
      </w:pPr>
      <w:r>
        <w:t xml:space="preserve">La documentación debe ser entregada dentro de un </w:t>
      </w:r>
      <w:r>
        <w:rPr>
          <w:b/>
        </w:rPr>
        <w:t>folio</w:t>
      </w:r>
      <w:r>
        <w:t>.</w:t>
      </w:r>
      <w:r>
        <w:rPr>
          <w:b/>
        </w:rPr>
        <w:t xml:space="preserve"> </w:t>
      </w:r>
      <w:r>
        <w:t xml:space="preserve"> </w:t>
      </w:r>
    </w:p>
    <w:p w:rsidR="00280E5D" w:rsidRDefault="0057383D">
      <w:pPr>
        <w:numPr>
          <w:ilvl w:val="0"/>
          <w:numId w:val="1"/>
        </w:numPr>
        <w:spacing w:after="36"/>
        <w:ind w:hanging="360"/>
      </w:pPr>
      <w:r>
        <w:t xml:space="preserve">Para mayor claridad, la información solicitada en los formularios deberá ser completado mediante un procesador de texto de una computadora. </w:t>
      </w:r>
    </w:p>
    <w:p w:rsidR="00280E5D" w:rsidRDefault="0057383D">
      <w:pPr>
        <w:numPr>
          <w:ilvl w:val="0"/>
          <w:numId w:val="1"/>
        </w:numPr>
        <w:spacing w:after="0"/>
        <w:ind w:hanging="360"/>
      </w:pPr>
      <w:r>
        <w:rPr>
          <w:b/>
        </w:rPr>
        <w:t>Se presenta un trámite por cada solicitud de aptitud de envases. Por ejemplo: si desea inscribir 3 (tres) envases deberá presentar 3 (tres) solicitudes independientes.</w:t>
      </w:r>
      <w:r>
        <w:t xml:space="preserve"> </w:t>
      </w:r>
    </w:p>
    <w:p w:rsidR="00280E5D" w:rsidRDefault="00280E5D">
      <w:pPr>
        <w:spacing w:after="123" w:line="259" w:lineRule="auto"/>
        <w:ind w:left="720" w:firstLine="0"/>
        <w:jc w:val="left"/>
      </w:pPr>
    </w:p>
    <w:p w:rsidR="00083CE7" w:rsidRDefault="00083CE7">
      <w:pPr>
        <w:spacing w:after="123" w:line="259" w:lineRule="auto"/>
        <w:ind w:left="720" w:firstLine="0"/>
        <w:jc w:val="left"/>
      </w:pPr>
    </w:p>
    <w:p w:rsidR="00280E5D" w:rsidRDefault="0057383D">
      <w:pPr>
        <w:spacing w:after="160" w:line="259" w:lineRule="auto"/>
        <w:ind w:left="-5"/>
        <w:jc w:val="left"/>
      </w:pPr>
      <w:r>
        <w:rPr>
          <w:b/>
          <w:u w:val="single" w:color="000000"/>
        </w:rPr>
        <w:t>FORMULARIOS REQUERIDOS</w:t>
      </w:r>
      <w:r>
        <w:t xml:space="preserve"> </w:t>
      </w:r>
    </w:p>
    <w:p w:rsidR="00280E5D" w:rsidRDefault="0057383D">
      <w:pPr>
        <w:numPr>
          <w:ilvl w:val="0"/>
          <w:numId w:val="2"/>
        </w:numPr>
        <w:ind w:hanging="358"/>
      </w:pPr>
      <w:r>
        <w:rPr>
          <w:b/>
        </w:rPr>
        <w:t>Nota solicitando la certificación de aptitud de envases</w:t>
      </w:r>
      <w:r>
        <w:t xml:space="preserve"> por DUPLICADO, firmada por el titular o quien tenga la representación legal de la sociedad y el uso de la firma social o director técnico. </w:t>
      </w:r>
      <w:r>
        <w:rPr>
          <w:u w:val="single" w:color="000000"/>
        </w:rPr>
        <w:t xml:space="preserve">Se debe descargar el modelo en el sitio web, dentro de </w:t>
      </w:r>
      <w:r>
        <w:rPr>
          <w:i/>
          <w:u w:val="single" w:color="000000"/>
        </w:rPr>
        <w:t>formularios y</w:t>
      </w:r>
      <w:r>
        <w:rPr>
          <w:i/>
        </w:rPr>
        <w:t xml:space="preserve"> </w:t>
      </w:r>
      <w:r w:rsidRPr="00083CE7">
        <w:rPr>
          <w:u w:val="single" w:color="000000"/>
        </w:rPr>
        <w:t>anexos, llamado</w:t>
      </w:r>
      <w:r>
        <w:rPr>
          <w:u w:val="single" w:color="0000FF"/>
        </w:rPr>
        <w:t xml:space="preserve">: </w:t>
      </w:r>
      <w:r>
        <w:rPr>
          <w:color w:val="0000FF"/>
          <w:u w:val="single" w:color="0000FF"/>
        </w:rPr>
        <w:t>Nota de solicitud de certificado de aptitud de envases.</w:t>
      </w:r>
      <w:r>
        <w:t xml:space="preserve"> </w:t>
      </w:r>
    </w:p>
    <w:p w:rsidR="00280E5D" w:rsidRDefault="00280E5D">
      <w:pPr>
        <w:spacing w:after="162" w:line="259" w:lineRule="auto"/>
        <w:ind w:left="358" w:firstLine="0"/>
        <w:jc w:val="left"/>
      </w:pPr>
    </w:p>
    <w:p w:rsidR="00083CE7" w:rsidRDefault="00083CE7">
      <w:pPr>
        <w:spacing w:after="162" w:line="259" w:lineRule="auto"/>
        <w:ind w:left="358" w:firstLine="0"/>
        <w:jc w:val="left"/>
      </w:pPr>
    </w:p>
    <w:p w:rsidR="00083CE7" w:rsidRPr="00083CE7" w:rsidRDefault="0057383D" w:rsidP="00083CE7">
      <w:pPr>
        <w:numPr>
          <w:ilvl w:val="0"/>
          <w:numId w:val="2"/>
        </w:numPr>
        <w:spacing w:after="36"/>
        <w:ind w:hanging="358"/>
      </w:pPr>
      <w:r>
        <w:rPr>
          <w:b/>
        </w:rPr>
        <w:t>Comprobante de liquidación de Tasa</w:t>
      </w:r>
      <w:r>
        <w:t xml:space="preserve"> según Ley Impositiva Provincial. No se aceptarán </w:t>
      </w:r>
      <w:r w:rsidR="00BF789A">
        <w:t>actuaciones que presenten monto</w:t>
      </w:r>
      <w:r>
        <w:t xml:space="preserve"> distinto </w:t>
      </w:r>
      <w:r w:rsidR="00BF789A">
        <w:t>al</w:t>
      </w:r>
      <w:r>
        <w:t xml:space="preserve"> establecido en la Ley Impositiva del año en curso y deben estar </w:t>
      </w:r>
      <w:r>
        <w:rPr>
          <w:b/>
        </w:rPr>
        <w:t xml:space="preserve">a nombre de la firma. </w:t>
      </w:r>
      <w:r w:rsidR="00BF789A">
        <w:t>El</w:t>
      </w:r>
      <w:r>
        <w:t xml:space="preserve"> monto de la</w:t>
      </w:r>
      <w:r w:rsidR="00BF789A">
        <w:t xml:space="preserve"> tasa</w:t>
      </w:r>
      <w:r>
        <w:t xml:space="preserve"> se puede</w:t>
      </w:r>
      <w:bookmarkStart w:id="0" w:name="_GoBack"/>
      <w:bookmarkEnd w:id="0"/>
      <w:r>
        <w:t xml:space="preserve"> revisar en el siguiente link: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http://trs.cba.gov.ar</w:t>
        </w:r>
      </w:hyperlink>
      <w:hyperlink r:id="rId9">
        <w:r>
          <w:t>.</w:t>
        </w:r>
      </w:hyperlink>
      <w:r>
        <w:rPr>
          <w:b/>
        </w:rPr>
        <w:t xml:space="preserve"> La</w:t>
      </w:r>
      <w:r w:rsidR="00083CE7">
        <w:rPr>
          <w:b/>
        </w:rPr>
        <w:t xml:space="preserve"> tasa retributiva de servicio que corresponde abonar es </w:t>
      </w:r>
    </w:p>
    <w:p w:rsidR="00280E5D" w:rsidRDefault="0057383D" w:rsidP="00083CE7">
      <w:pPr>
        <w:numPr>
          <w:ilvl w:val="1"/>
          <w:numId w:val="2"/>
        </w:numPr>
        <w:spacing w:after="36"/>
      </w:pPr>
      <w:r>
        <w:rPr>
          <w:b/>
        </w:rPr>
        <w:t>Constancia Apti</w:t>
      </w:r>
      <w:r w:rsidR="00B8305B">
        <w:rPr>
          <w:b/>
        </w:rPr>
        <w:t>tud de Envases. art. N°</w:t>
      </w:r>
      <w:r w:rsidR="00083CE7">
        <w:rPr>
          <w:b/>
        </w:rPr>
        <w:t>95</w:t>
      </w:r>
      <w:r w:rsidR="00B8305B">
        <w:rPr>
          <w:b/>
        </w:rPr>
        <w:t xml:space="preserve"> inc. 6</w:t>
      </w:r>
      <w:r>
        <w:rPr>
          <w:b/>
        </w:rPr>
        <w:t xml:space="preserve">.2 </w:t>
      </w:r>
    </w:p>
    <w:p w:rsidR="00280E5D" w:rsidRDefault="0057383D">
      <w:pPr>
        <w:spacing w:after="160" w:line="259" w:lineRule="auto"/>
        <w:ind w:left="358" w:firstLine="0"/>
        <w:jc w:val="left"/>
      </w:pPr>
      <w:r>
        <w:t xml:space="preserve"> </w:t>
      </w:r>
    </w:p>
    <w:p w:rsidR="00280E5D" w:rsidRDefault="0057383D">
      <w:pPr>
        <w:numPr>
          <w:ilvl w:val="0"/>
          <w:numId w:val="2"/>
        </w:numPr>
        <w:spacing w:after="123" w:line="259" w:lineRule="auto"/>
        <w:ind w:hanging="358"/>
      </w:pPr>
      <w:r>
        <w:lastRenderedPageBreak/>
        <w:t xml:space="preserve">Datos de la Empresa </w:t>
      </w:r>
      <w:proofErr w:type="spellStart"/>
      <w:r>
        <w:t>ó</w:t>
      </w:r>
      <w:proofErr w:type="spellEnd"/>
      <w:r>
        <w:t xml:space="preserve"> Establecimiento que realiza el trámite: </w:t>
      </w:r>
    </w:p>
    <w:p w:rsidR="00280E5D" w:rsidRDefault="0057383D" w:rsidP="00083CE7">
      <w:pPr>
        <w:numPr>
          <w:ilvl w:val="2"/>
          <w:numId w:val="4"/>
        </w:numPr>
        <w:spacing w:after="0" w:line="360" w:lineRule="auto"/>
        <w:ind w:left="612" w:hanging="254"/>
      </w:pPr>
      <w:r>
        <w:t xml:space="preserve">Nombre </w:t>
      </w:r>
      <w:proofErr w:type="spellStart"/>
      <w:r>
        <w:t>ó</w:t>
      </w:r>
      <w:proofErr w:type="spellEnd"/>
      <w:r>
        <w:t xml:space="preserve"> razón social. </w:t>
      </w:r>
    </w:p>
    <w:p w:rsidR="00280E5D" w:rsidRDefault="0057383D" w:rsidP="00083CE7">
      <w:pPr>
        <w:numPr>
          <w:ilvl w:val="2"/>
          <w:numId w:val="4"/>
        </w:numPr>
        <w:spacing w:after="0" w:line="360" w:lineRule="auto"/>
        <w:ind w:left="612" w:hanging="254"/>
      </w:pPr>
      <w:r>
        <w:t xml:space="preserve">Datos del domicilio legal. </w:t>
      </w:r>
    </w:p>
    <w:p w:rsidR="00280E5D" w:rsidRDefault="0057383D" w:rsidP="00083CE7">
      <w:pPr>
        <w:numPr>
          <w:ilvl w:val="2"/>
          <w:numId w:val="4"/>
        </w:numPr>
        <w:spacing w:after="0" w:line="360" w:lineRule="auto"/>
        <w:ind w:left="612" w:hanging="254"/>
      </w:pPr>
      <w:r>
        <w:t>Datos del domicilio del depósito/fábrica.</w:t>
      </w:r>
      <w:r>
        <w:rPr>
          <w:b/>
        </w:rPr>
        <w:t xml:space="preserve">       </w:t>
      </w:r>
      <w:r>
        <w:t xml:space="preserve"> </w:t>
      </w:r>
    </w:p>
    <w:p w:rsidR="00280E5D" w:rsidRDefault="0057383D" w:rsidP="00083CE7">
      <w:pPr>
        <w:numPr>
          <w:ilvl w:val="2"/>
          <w:numId w:val="4"/>
        </w:numPr>
        <w:spacing w:after="0" w:line="360" w:lineRule="auto"/>
        <w:ind w:left="612" w:hanging="254"/>
      </w:pPr>
      <w:r>
        <w:t xml:space="preserve">Teléfono y dirección de e-mail de contacto. </w:t>
      </w:r>
    </w:p>
    <w:p w:rsidR="00280E5D" w:rsidRDefault="0057383D">
      <w:pPr>
        <w:spacing w:after="36"/>
        <w:ind w:left="368"/>
      </w:pPr>
      <w:r>
        <w:t xml:space="preserve">Deberá presentarse </w:t>
      </w:r>
      <w:r>
        <w:rPr>
          <w:b/>
        </w:rPr>
        <w:t>por única vez,</w:t>
      </w:r>
      <w:r>
        <w:t xml:space="preserve"> en el primer trámite de aptitud de envases que se solicite fotocopias autenticadas, ya sea por policía, juez de paz, escribano o personal de la Dirección, de: </w:t>
      </w:r>
    </w:p>
    <w:p w:rsidR="00280E5D" w:rsidRDefault="0057383D">
      <w:pPr>
        <w:numPr>
          <w:ilvl w:val="2"/>
          <w:numId w:val="5"/>
        </w:numPr>
        <w:spacing w:after="159" w:line="259" w:lineRule="auto"/>
        <w:ind w:hanging="350"/>
      </w:pPr>
      <w:r>
        <w:t xml:space="preserve">Estatuto social (sociedades) </w:t>
      </w:r>
      <w:proofErr w:type="spellStart"/>
      <w:r>
        <w:t>ó</w:t>
      </w:r>
      <w:proofErr w:type="spellEnd"/>
      <w:r>
        <w:t xml:space="preserve"> DNI (unipersonal o S. de H.). </w:t>
      </w:r>
    </w:p>
    <w:p w:rsidR="00280E5D" w:rsidRDefault="0057383D">
      <w:pPr>
        <w:numPr>
          <w:ilvl w:val="2"/>
          <w:numId w:val="5"/>
        </w:numPr>
        <w:spacing w:after="159" w:line="259" w:lineRule="auto"/>
        <w:ind w:hanging="350"/>
      </w:pPr>
      <w:r>
        <w:t xml:space="preserve">Habilitación municipal. </w:t>
      </w:r>
    </w:p>
    <w:p w:rsidR="00280E5D" w:rsidRDefault="0057383D">
      <w:pPr>
        <w:numPr>
          <w:ilvl w:val="2"/>
          <w:numId w:val="5"/>
        </w:numPr>
        <w:spacing w:after="124" w:line="259" w:lineRule="auto"/>
        <w:ind w:hanging="350"/>
      </w:pPr>
      <w:r>
        <w:t xml:space="preserve">Constancia de  C.U.I.T. </w:t>
      </w:r>
    </w:p>
    <w:p w:rsidR="00280E5D" w:rsidRDefault="0057383D">
      <w:pPr>
        <w:spacing w:after="160" w:line="259" w:lineRule="auto"/>
        <w:ind w:left="358" w:firstLine="0"/>
        <w:jc w:val="left"/>
      </w:pPr>
      <w:r>
        <w:t xml:space="preserve"> </w:t>
      </w:r>
    </w:p>
    <w:p w:rsidR="00083CE7" w:rsidRDefault="0057383D" w:rsidP="00083CE7">
      <w:pPr>
        <w:numPr>
          <w:ilvl w:val="0"/>
          <w:numId w:val="2"/>
        </w:numPr>
        <w:spacing w:after="160" w:line="259" w:lineRule="auto"/>
        <w:ind w:hanging="358"/>
      </w:pPr>
      <w:r>
        <w:rPr>
          <w:b/>
        </w:rPr>
        <w:t>Ficha técnica del producto</w:t>
      </w:r>
      <w:r>
        <w:t xml:space="preserve"> (envase, objeto o material)</w:t>
      </w:r>
      <w:r>
        <w:rPr>
          <w:b/>
        </w:rPr>
        <w:t xml:space="preserve"> </w:t>
      </w:r>
      <w:r>
        <w:t>donde conste:</w:t>
      </w:r>
    </w:p>
    <w:p w:rsidR="00C13434" w:rsidRDefault="00083CE7" w:rsidP="00C13434">
      <w:pPr>
        <w:pStyle w:val="Prrafodelista"/>
        <w:numPr>
          <w:ilvl w:val="1"/>
          <w:numId w:val="2"/>
        </w:numPr>
        <w:spacing w:after="35" w:line="360" w:lineRule="auto"/>
      </w:pPr>
      <w:r w:rsidRPr="00C13434">
        <w:rPr>
          <w:b/>
        </w:rPr>
        <w:t>Denominación comercial, marca y/o código de identificación del/os producto/s.</w:t>
      </w:r>
      <w:r>
        <w:t xml:space="preserve"> </w:t>
      </w:r>
    </w:p>
    <w:p w:rsidR="00C13434" w:rsidRDefault="0057383D" w:rsidP="00C13434">
      <w:pPr>
        <w:pStyle w:val="Prrafodelista"/>
        <w:numPr>
          <w:ilvl w:val="1"/>
          <w:numId w:val="2"/>
        </w:numPr>
        <w:spacing w:after="35" w:line="360" w:lineRule="auto"/>
      </w:pPr>
      <w:r>
        <w:t xml:space="preserve">Una </w:t>
      </w:r>
      <w:r w:rsidRPr="00C13434">
        <w:rPr>
          <w:b/>
        </w:rPr>
        <w:t xml:space="preserve">descripción física </w:t>
      </w:r>
      <w:r>
        <w:t xml:space="preserve">(croquis de ser necesario y/o Foto, Ilustración o Catálogo de cada producto). </w:t>
      </w:r>
    </w:p>
    <w:p w:rsidR="00280E5D" w:rsidRDefault="0057383D" w:rsidP="00C13434">
      <w:pPr>
        <w:pStyle w:val="Prrafodelista"/>
        <w:numPr>
          <w:ilvl w:val="1"/>
          <w:numId w:val="2"/>
        </w:numPr>
        <w:spacing w:after="35" w:line="360" w:lineRule="auto"/>
      </w:pPr>
      <w:r>
        <w:t xml:space="preserve">El material o materiales que componen cada una de sus partes, indicando cuál/es tienen contacto con el alimento. Incluir además, en el caso que corresponda, a los adhesivos, compuestos de cierre, lacas, barnices, pigmentos, </w:t>
      </w:r>
      <w:proofErr w:type="spellStart"/>
      <w:r>
        <w:t>etc</w:t>
      </w:r>
      <w:proofErr w:type="spellEnd"/>
      <w:r>
        <w:t xml:space="preserve"> (adjuntar en caso de disponer, copia del certificado de aprobación de materias  primas). </w:t>
      </w:r>
    </w:p>
    <w:p w:rsidR="00280E5D" w:rsidRDefault="0057383D">
      <w:pPr>
        <w:spacing w:after="123" w:line="259" w:lineRule="auto"/>
        <w:ind w:left="368"/>
      </w:pPr>
      <w:r>
        <w:t>De acuerdo al</w:t>
      </w:r>
      <w:r>
        <w:rPr>
          <w:b/>
        </w:rPr>
        <w:t xml:space="preserve"> Tipo de Material, </w:t>
      </w:r>
      <w:r>
        <w:t xml:space="preserve">adjuntar: </w:t>
      </w:r>
    </w:p>
    <w:p w:rsidR="00280E5D" w:rsidRDefault="0057383D">
      <w:pPr>
        <w:spacing w:after="123" w:line="259" w:lineRule="auto"/>
        <w:ind w:left="-5"/>
      </w:pPr>
      <w:r>
        <w:rPr>
          <w:b/>
          <w:u w:val="single" w:color="000000"/>
        </w:rPr>
        <w:t>Metálicos sin revestimiento</w:t>
      </w:r>
      <w:r>
        <w:t xml:space="preserve">: (Resolución GMC Nº 46/06) </w:t>
      </w:r>
    </w:p>
    <w:p w:rsidR="00280E5D" w:rsidRDefault="0057383D">
      <w:pPr>
        <w:ind w:left="-5"/>
      </w:pPr>
      <w:r>
        <w:t xml:space="preserve">-Especificaciones técnicas del metal (identificación), indicando su composición y norma internacional a la que responde (AISI, UNS, IRAM, etc.) </w:t>
      </w:r>
    </w:p>
    <w:p w:rsidR="00280E5D" w:rsidRDefault="0057383D">
      <w:pPr>
        <w:ind w:left="-5" w:right="82"/>
      </w:pPr>
      <w:r>
        <w:t xml:space="preserve">-Adjuntar </w:t>
      </w:r>
      <w:r>
        <w:rPr>
          <w:b/>
        </w:rPr>
        <w:t>Protocolo de Análisis de Composición Química</w:t>
      </w:r>
      <w:r>
        <w:t xml:space="preserve"> (% p/p de Cr, Ni, P, Mn, C y otros) y  de </w:t>
      </w:r>
      <w:r>
        <w:rPr>
          <w:b/>
        </w:rPr>
        <w:t>Composición Porcentual de Impurezas</w:t>
      </w:r>
      <w:r>
        <w:t xml:space="preserve"> (Contenido % p/p de Plomo, Arsénico, Cadmio, Mercurio, Antimonio y Cobre)  practicado sobre cada tipo de metal en contacto </w:t>
      </w:r>
      <w:r>
        <w:lastRenderedPageBreak/>
        <w:t xml:space="preserve">con el alimento, de acuerdo a la Resolución GMC 46/06. (Producto debidamente identificado en el protocolo).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spacing w:after="90" w:line="259" w:lineRule="auto"/>
        <w:ind w:left="-5"/>
        <w:jc w:val="left"/>
      </w:pPr>
      <w:r>
        <w:rPr>
          <w:b/>
          <w:u w:val="single" w:color="000000"/>
        </w:rPr>
        <w:t>Metálicos con revestimiento</w:t>
      </w:r>
      <w:r>
        <w:rPr>
          <w:b/>
        </w:rPr>
        <w:t xml:space="preserve">: </w:t>
      </w:r>
      <w:r>
        <w:t xml:space="preserve">(Resolución GMC Nº 46/06) </w:t>
      </w:r>
    </w:p>
    <w:p w:rsidR="00280E5D" w:rsidRDefault="0057383D">
      <w:pPr>
        <w:ind w:left="-5"/>
      </w:pPr>
      <w:r>
        <w:t xml:space="preserve">-Especificaciones técnicas del metal (identificación) y del revestimiento (Formulación química cualitativa de los ingredientes que intervienen en su composición). </w:t>
      </w:r>
    </w:p>
    <w:p w:rsidR="00280E5D" w:rsidRDefault="0057383D">
      <w:pPr>
        <w:ind w:left="-5"/>
      </w:pPr>
      <w:r>
        <w:t xml:space="preserve">-Protocolo de análisis de migración global y específica, límite de composición, </w:t>
      </w:r>
      <w:proofErr w:type="spellStart"/>
      <w:r>
        <w:t>etc</w:t>
      </w:r>
      <w:proofErr w:type="spellEnd"/>
      <w:r>
        <w:t xml:space="preserve">, según corresponda de acuerdo a la legislación vigente. </w:t>
      </w:r>
    </w:p>
    <w:p w:rsidR="00280E5D" w:rsidRDefault="0057383D">
      <w:pPr>
        <w:ind w:left="-5"/>
      </w:pPr>
      <w:r>
        <w:t xml:space="preserve">-Protocolo de análisis de </w:t>
      </w:r>
      <w:r>
        <w:rPr>
          <w:b/>
        </w:rPr>
        <w:t>migración de metales pesados</w:t>
      </w:r>
      <w:r>
        <w:t xml:space="preserve">, realizado según las condiciones de uso. </w:t>
      </w:r>
    </w:p>
    <w:p w:rsidR="00280E5D" w:rsidRDefault="0057383D">
      <w:pPr>
        <w:spacing w:after="123" w:line="259" w:lineRule="auto"/>
        <w:ind w:left="720" w:firstLine="0"/>
        <w:jc w:val="left"/>
      </w:pPr>
      <w:r>
        <w:t xml:space="preserve">  </w:t>
      </w:r>
    </w:p>
    <w:p w:rsidR="00280E5D" w:rsidRDefault="0057383D">
      <w:pPr>
        <w:ind w:left="-5" w:right="1927"/>
      </w:pPr>
      <w:r>
        <w:rPr>
          <w:b/>
          <w:u w:val="single" w:color="000000"/>
        </w:rPr>
        <w:t>Vidrio Sódico-cálcico y Boro-silicato</w:t>
      </w:r>
      <w:r>
        <w:rPr>
          <w:b/>
        </w:rPr>
        <w:t xml:space="preserve">: </w:t>
      </w:r>
      <w:r>
        <w:t xml:space="preserve">(Resolución GMC 055/92) Podrán ser utilizados sin necesidad de autorización previa.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spacing w:after="123" w:line="259" w:lineRule="auto"/>
        <w:ind w:left="-5"/>
        <w:jc w:val="left"/>
      </w:pPr>
      <w:r>
        <w:rPr>
          <w:b/>
          <w:u w:val="single" w:color="000000"/>
        </w:rPr>
        <w:t xml:space="preserve">Cerámica esmaltada o vitrificada: </w:t>
      </w:r>
      <w:r>
        <w:t xml:space="preserve">(Resolución GMC N° 055/92) </w:t>
      </w:r>
    </w:p>
    <w:p w:rsidR="00280E5D" w:rsidRDefault="0057383D">
      <w:pPr>
        <w:spacing w:after="125" w:line="259" w:lineRule="auto"/>
        <w:ind w:left="-5"/>
      </w:pPr>
      <w:r>
        <w:t xml:space="preserve">-Formulación química cualitativa de la cerámica y del revestimiento (esmalte). </w:t>
      </w:r>
    </w:p>
    <w:p w:rsidR="00280E5D" w:rsidRDefault="0057383D">
      <w:pPr>
        <w:ind w:left="-5"/>
      </w:pPr>
      <w:r>
        <w:t xml:space="preserve">-Protocolos de análisis de </w:t>
      </w:r>
      <w:r>
        <w:rPr>
          <w:b/>
        </w:rPr>
        <w:t>migración global y migración específica de cadmio y plomo</w:t>
      </w:r>
      <w:r>
        <w:t xml:space="preserve">, practicado sobre cada variedad de </w:t>
      </w:r>
      <w:r>
        <w:rPr>
          <w:b/>
        </w:rPr>
        <w:t>color</w:t>
      </w:r>
      <w:r>
        <w:t xml:space="preserve"> de la cerámica.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spacing w:after="123" w:line="259" w:lineRule="auto"/>
        <w:ind w:left="-5"/>
      </w:pPr>
      <w:r>
        <w:rPr>
          <w:b/>
          <w:u w:val="single" w:color="000000"/>
        </w:rPr>
        <w:t>Cristal</w:t>
      </w:r>
      <w:r>
        <w:t xml:space="preserve">: (Resolución GMC N° 055/92) </w:t>
      </w:r>
    </w:p>
    <w:p w:rsidR="00280E5D" w:rsidRDefault="0057383D">
      <w:pPr>
        <w:ind w:left="-5"/>
      </w:pPr>
      <w:r>
        <w:t xml:space="preserve">-Formulación química cuantitativa o análisis de contenido de Plomo, Bario, Potasio o Zinc, expresados como Óxido. </w:t>
      </w:r>
    </w:p>
    <w:p w:rsidR="00280E5D" w:rsidRDefault="0057383D">
      <w:pPr>
        <w:spacing w:after="123" w:line="259" w:lineRule="auto"/>
        <w:ind w:left="-5"/>
      </w:pPr>
      <w:r>
        <w:t xml:space="preserve">-Protocolos de análisis de migración global y migración específica de Cadmio y Plomo.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 </w:t>
      </w:r>
    </w:p>
    <w:p w:rsidR="00280E5D" w:rsidRDefault="0057383D">
      <w:pPr>
        <w:spacing w:after="123" w:line="259" w:lineRule="auto"/>
        <w:ind w:left="-5"/>
      </w:pPr>
      <w:r>
        <w:rPr>
          <w:b/>
          <w:u w:val="single" w:color="000000"/>
        </w:rPr>
        <w:t>Plásticos</w:t>
      </w:r>
      <w:r>
        <w:t xml:space="preserve">: (Resolución GMC Nº 056/92, 24/04 y 32/07) </w:t>
      </w:r>
    </w:p>
    <w:p w:rsidR="00280E5D" w:rsidRDefault="0057383D">
      <w:pPr>
        <w:spacing w:after="36"/>
        <w:ind w:left="-5"/>
      </w:pPr>
      <w:r>
        <w:t xml:space="preserve">-Formulación química cualitativa de cada resina plástica utilizada, incluyendo la siguiente información: monómeros de partida y aditivos. </w:t>
      </w:r>
    </w:p>
    <w:p w:rsidR="00280E5D" w:rsidRDefault="0057383D">
      <w:pPr>
        <w:numPr>
          <w:ilvl w:val="0"/>
          <w:numId w:val="6"/>
        </w:numPr>
        <w:spacing w:after="160" w:line="259" w:lineRule="auto"/>
        <w:ind w:hanging="283"/>
      </w:pPr>
      <w:r>
        <w:lastRenderedPageBreak/>
        <w:t xml:space="preserve">Nombre químico y nombre común o genérico de los componentes. </w:t>
      </w:r>
    </w:p>
    <w:p w:rsidR="00280E5D" w:rsidRDefault="0057383D">
      <w:pPr>
        <w:numPr>
          <w:ilvl w:val="0"/>
          <w:numId w:val="6"/>
        </w:numPr>
        <w:spacing w:after="123" w:line="259" w:lineRule="auto"/>
        <w:ind w:hanging="283"/>
      </w:pPr>
      <w:r>
        <w:t xml:space="preserve">Número C.A.S. o equivalente de los componentes, cuando sea posible.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 </w:t>
      </w:r>
    </w:p>
    <w:p w:rsidR="00280E5D" w:rsidRDefault="0057383D">
      <w:pPr>
        <w:ind w:left="-5"/>
      </w:pPr>
      <w:r>
        <w:t>-Protocolo de análisis de migraciones globales y migraciones específicas, según corresponda de acuerdo a la legislación vigente. En aquellos casos que existan límites de composición de ciertos componentes, será necesario declarar su concentración pudiendo expresarla como inferior a dicho límite. (</w:t>
      </w:r>
      <w:r>
        <w:rPr>
          <w:b/>
        </w:rPr>
        <w:t>Antigüedad no mayor a 2 años</w:t>
      </w:r>
      <w:r>
        <w:t xml:space="preserve">). </w:t>
      </w:r>
    </w:p>
    <w:p w:rsidR="00280E5D" w:rsidRDefault="0057383D">
      <w:pPr>
        <w:ind w:left="-5" w:right="79"/>
      </w:pPr>
      <w:r>
        <w:t xml:space="preserve"> -Protocolo de análisis de contenido de metales </w:t>
      </w:r>
      <w:r>
        <w:rPr>
          <w:i/>
        </w:rPr>
        <w:t xml:space="preserve">(% m/m As, Ba, Cd, Zn, Hg, Pb y Se) </w:t>
      </w:r>
      <w:r>
        <w:t xml:space="preserve">de cada </w:t>
      </w:r>
      <w:r>
        <w:rPr>
          <w:b/>
        </w:rPr>
        <w:t>pigmento</w:t>
      </w:r>
      <w:r>
        <w:t xml:space="preserve"> utilizado. Si se trata de pigmentos orgánicos deberá adjuntar también el contenido de aminas aromáticas.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 </w:t>
      </w:r>
    </w:p>
    <w:p w:rsidR="00280E5D" w:rsidRDefault="0057383D">
      <w:pPr>
        <w:spacing w:after="123" w:line="259" w:lineRule="auto"/>
        <w:ind w:left="-5"/>
      </w:pPr>
      <w:r>
        <w:rPr>
          <w:b/>
          <w:u w:val="single" w:color="000000"/>
        </w:rPr>
        <w:t>Celulósicos</w:t>
      </w:r>
      <w:r>
        <w:t xml:space="preserve">: (Artículo 186 bis del CAA) </w:t>
      </w:r>
    </w:p>
    <w:p w:rsidR="00280E5D" w:rsidRDefault="0057383D">
      <w:pPr>
        <w:ind w:left="-5"/>
      </w:pPr>
      <w:r>
        <w:t xml:space="preserve">-Composición de la materia prima fibrosa y materia  prima no fibrosa (carga mineral, coadyuvantes de fabricación). </w:t>
      </w:r>
    </w:p>
    <w:p w:rsidR="00280E5D" w:rsidRDefault="0057383D">
      <w:pPr>
        <w:numPr>
          <w:ilvl w:val="0"/>
          <w:numId w:val="7"/>
        </w:numPr>
        <w:ind w:right="43"/>
      </w:pPr>
      <w:r>
        <w:t xml:space="preserve">Protocolo de análisis de contenido de </w:t>
      </w:r>
      <w:proofErr w:type="spellStart"/>
      <w:r>
        <w:t>bifenilos</w:t>
      </w:r>
      <w:proofErr w:type="spellEnd"/>
      <w:r>
        <w:t xml:space="preserve"> </w:t>
      </w:r>
      <w:proofErr w:type="spellStart"/>
      <w:r>
        <w:t>policlorados</w:t>
      </w:r>
      <w:proofErr w:type="spellEnd"/>
      <w:r>
        <w:t xml:space="preserve"> (mg/Kg), calculados como “</w:t>
      </w:r>
      <w:proofErr w:type="spellStart"/>
      <w:r>
        <w:t>bifenilos</w:t>
      </w:r>
      <w:proofErr w:type="spellEnd"/>
      <w:r>
        <w:t xml:space="preserve"> </w:t>
      </w:r>
      <w:proofErr w:type="spellStart"/>
      <w:r>
        <w:t>policlorados</w:t>
      </w:r>
      <w:proofErr w:type="spellEnd"/>
      <w:r>
        <w:t xml:space="preserve"> 60”;  y de formaldehído residual en el extracto del producto terminado (mg/dm2) </w:t>
      </w:r>
    </w:p>
    <w:p w:rsidR="00280E5D" w:rsidRDefault="0057383D">
      <w:pPr>
        <w:numPr>
          <w:ilvl w:val="0"/>
          <w:numId w:val="7"/>
        </w:numPr>
        <w:ind w:right="43"/>
      </w:pPr>
      <w:r>
        <w:t xml:space="preserve">Protocolo de análisis de migración total y de migración específica de los elementos: Cadmio, Arsénico, Cromo y Mercurio. </w:t>
      </w:r>
    </w:p>
    <w:p w:rsidR="00280E5D" w:rsidRDefault="0057383D">
      <w:pPr>
        <w:ind w:left="-5" w:right="80"/>
      </w:pPr>
      <w:r>
        <w:t xml:space="preserve">Papel de filtro: Adjuntar además protocolo de análisis de determinación del residuo seco total de la extracción con agua caliente, de contenido total de nitrógeno de ese extracto, y de ausencia de formaldehído residual y los metales: Cd / As / Cr / Hg y Pb. </w:t>
      </w:r>
    </w:p>
    <w:p w:rsidR="00280E5D" w:rsidRDefault="0057383D">
      <w:pPr>
        <w:spacing w:after="123" w:line="259" w:lineRule="auto"/>
        <w:ind w:left="0" w:firstLine="0"/>
        <w:jc w:val="left"/>
      </w:pPr>
      <w:r>
        <w:t xml:space="preserve">  </w:t>
      </w:r>
    </w:p>
    <w:p w:rsidR="00280E5D" w:rsidRDefault="0057383D">
      <w:pPr>
        <w:spacing w:after="0" w:line="360" w:lineRule="auto"/>
        <w:ind w:left="0" w:right="3602" w:firstLine="0"/>
        <w:jc w:val="left"/>
      </w:pPr>
      <w:r>
        <w:rPr>
          <w:b/>
          <w:u w:val="single" w:color="000000"/>
        </w:rPr>
        <w:t>Madera</w:t>
      </w:r>
      <w:r>
        <w:rPr>
          <w:u w:val="single" w:color="000000"/>
        </w:rPr>
        <w:t>: (GMC nº 3/92 Anexo I punto 4.1.8)</w:t>
      </w:r>
      <w:r>
        <w:t xml:space="preserve"> -Declarar Especie Botánica. </w:t>
      </w:r>
    </w:p>
    <w:p w:rsidR="00280E5D" w:rsidRDefault="0057383D">
      <w:pPr>
        <w:spacing w:after="123" w:line="259" w:lineRule="auto"/>
        <w:ind w:left="-5"/>
      </w:pPr>
      <w:r>
        <w:t xml:space="preserve">-Certificado Fitosanitario de Origen. </w:t>
      </w:r>
    </w:p>
    <w:p w:rsidR="00280E5D" w:rsidRDefault="0057383D">
      <w:pPr>
        <w:ind w:left="-5"/>
      </w:pPr>
      <w:r>
        <w:lastRenderedPageBreak/>
        <w:t xml:space="preserve">En el caso de </w:t>
      </w:r>
      <w:proofErr w:type="spellStart"/>
      <w:r>
        <w:rPr>
          <w:b/>
        </w:rPr>
        <w:t>polilaminados</w:t>
      </w:r>
      <w:proofErr w:type="spellEnd"/>
      <w:r>
        <w:rPr>
          <w:b/>
        </w:rPr>
        <w:t>,</w:t>
      </w:r>
      <w:r>
        <w:t xml:space="preserve"> corte transversal indicando el material de cada capa detallando la que está en contacto con el alimento. </w:t>
      </w:r>
    </w:p>
    <w:p w:rsidR="00280E5D" w:rsidRDefault="0057383D">
      <w:pPr>
        <w:spacing w:after="123" w:line="259" w:lineRule="auto"/>
        <w:ind w:left="-5"/>
      </w:pPr>
      <w:r>
        <w:t xml:space="preserve">En caso de tratarse de envase, deberá detallarse capacidad del mismo, dimensiones, etc.                   </w:t>
      </w:r>
    </w:p>
    <w:p w:rsidR="00280E5D" w:rsidRDefault="0057383D">
      <w:pPr>
        <w:spacing w:after="160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numPr>
          <w:ilvl w:val="1"/>
          <w:numId w:val="9"/>
        </w:numPr>
        <w:spacing w:after="159" w:line="259" w:lineRule="auto"/>
        <w:ind w:hanging="487"/>
      </w:pPr>
      <w:r>
        <w:rPr>
          <w:b/>
        </w:rPr>
        <w:t>Breve descripción del proceso de fabricación.</w:t>
      </w:r>
      <w:r>
        <w:t xml:space="preserve"> </w:t>
      </w:r>
    </w:p>
    <w:p w:rsidR="00280E5D" w:rsidRDefault="0057383D">
      <w:pPr>
        <w:numPr>
          <w:ilvl w:val="1"/>
          <w:numId w:val="9"/>
        </w:numPr>
        <w:spacing w:after="123" w:line="259" w:lineRule="auto"/>
        <w:ind w:hanging="487"/>
      </w:pPr>
      <w:r>
        <w:rPr>
          <w:b/>
        </w:rPr>
        <w:t>Uso propuesto:</w:t>
      </w:r>
      <w:r>
        <w:t xml:space="preserve"> </w:t>
      </w:r>
    </w:p>
    <w:p w:rsidR="00280E5D" w:rsidRDefault="0057383D">
      <w:pPr>
        <w:numPr>
          <w:ilvl w:val="2"/>
          <w:numId w:val="8"/>
        </w:numPr>
        <w:spacing w:line="259" w:lineRule="auto"/>
        <w:ind w:hanging="297"/>
      </w:pPr>
      <w:r>
        <w:t xml:space="preserve">Carácter de retornable, único uso (descartable) o uso repetido. </w:t>
      </w:r>
    </w:p>
    <w:p w:rsidR="00280E5D" w:rsidRDefault="0057383D">
      <w:pPr>
        <w:numPr>
          <w:ilvl w:val="2"/>
          <w:numId w:val="8"/>
        </w:numPr>
        <w:ind w:hanging="297"/>
      </w:pPr>
      <w:r>
        <w:t xml:space="preserve">Tipos de alimentos con los que estará en contacto, según clasificación del Código Alimentario Argentino (TABLA B - Res. </w:t>
      </w:r>
      <w:proofErr w:type="spellStart"/>
      <w:r>
        <w:t>Conj</w:t>
      </w:r>
      <w:proofErr w:type="spellEnd"/>
      <w:r>
        <w:t xml:space="preserve">. N°140 y N° 526, 17.9.2001 (Res. GMC </w:t>
      </w:r>
    </w:p>
    <w:p w:rsidR="00280E5D" w:rsidRDefault="0057383D">
      <w:pPr>
        <w:spacing w:after="125" w:line="259" w:lineRule="auto"/>
      </w:pPr>
      <w:r>
        <w:t xml:space="preserve">MERCOSUR N° 32/97 y N°33/97) </w:t>
      </w:r>
    </w:p>
    <w:p w:rsidR="00280E5D" w:rsidRDefault="0057383D">
      <w:pPr>
        <w:numPr>
          <w:ilvl w:val="2"/>
          <w:numId w:val="8"/>
        </w:numPr>
        <w:ind w:hanging="297"/>
      </w:pPr>
      <w:r>
        <w:t xml:space="preserve">Condiciones de elaboración y/o conservación y/o uso (temperatura, tiempo, tiempo de cocción, uso doméstico reiterado, </w:t>
      </w:r>
      <w:proofErr w:type="spellStart"/>
      <w:r>
        <w:t>freezer</w:t>
      </w:r>
      <w:proofErr w:type="spellEnd"/>
      <w:r>
        <w:t xml:space="preserve">, </w:t>
      </w:r>
      <w:proofErr w:type="spellStart"/>
      <w:r>
        <w:t>microondas</w:t>
      </w:r>
      <w:proofErr w:type="gramStart"/>
      <w:r>
        <w:t>,etc</w:t>
      </w:r>
      <w:proofErr w:type="spellEnd"/>
      <w:proofErr w:type="gramEnd"/>
      <w:r>
        <w:t xml:space="preserve">.). </w:t>
      </w:r>
    </w:p>
    <w:p w:rsidR="00280E5D" w:rsidRDefault="0057383D">
      <w:pPr>
        <w:spacing w:after="160" w:line="259" w:lineRule="auto"/>
        <w:ind w:left="792" w:firstLine="0"/>
        <w:jc w:val="left"/>
      </w:pPr>
      <w:r>
        <w:t xml:space="preserve"> </w:t>
      </w:r>
    </w:p>
    <w:p w:rsidR="00280E5D" w:rsidRDefault="0057383D">
      <w:pPr>
        <w:spacing w:after="123" w:line="259" w:lineRule="auto"/>
        <w:ind w:left="355"/>
      </w:pPr>
      <w:r>
        <w:rPr>
          <w:b/>
        </w:rPr>
        <w:t>4.6.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Declarar el País de Origen y la Razón Social del Fabricante.</w:t>
      </w:r>
      <w:r>
        <w:t xml:space="preserve"> </w:t>
      </w:r>
    </w:p>
    <w:p w:rsidR="00280E5D" w:rsidRDefault="0057383D">
      <w:pPr>
        <w:spacing w:after="123" w:line="259" w:lineRule="auto"/>
        <w:ind w:left="1620" w:firstLine="0"/>
        <w:jc w:val="left"/>
      </w:pPr>
      <w:r>
        <w:t xml:space="preserve"> </w:t>
      </w:r>
    </w:p>
    <w:p w:rsidR="00280E5D" w:rsidRDefault="0057383D">
      <w:pPr>
        <w:ind w:left="-5"/>
      </w:pPr>
      <w:r>
        <w:rPr>
          <w:b/>
        </w:rPr>
        <w:t>5</w:t>
      </w:r>
      <w:r>
        <w:t xml:space="preserve">.  </w:t>
      </w:r>
      <w:r>
        <w:rPr>
          <w:b/>
        </w:rPr>
        <w:t>Muestra</w:t>
      </w:r>
      <w:r>
        <w:t xml:space="preserve"> representativa (cuando sus características lo permitan, adjuntarla al trámite, de lo contrario, entregar en mano identificando la muestra con el número de </w:t>
      </w:r>
      <w:proofErr w:type="spellStart"/>
      <w:r>
        <w:t>sticker</w:t>
      </w:r>
      <w:proofErr w:type="spellEnd"/>
      <w:r>
        <w:t xml:space="preserve">). </w:t>
      </w:r>
    </w:p>
    <w:p w:rsidR="00280E5D" w:rsidRDefault="0057383D" w:rsidP="00083CE7">
      <w:pPr>
        <w:spacing w:after="123" w:line="259" w:lineRule="auto"/>
        <w:ind w:left="0" w:firstLine="0"/>
        <w:jc w:val="left"/>
      </w:pPr>
      <w:r>
        <w:t xml:space="preserve">  </w:t>
      </w:r>
    </w:p>
    <w:p w:rsidR="00280E5D" w:rsidRDefault="0057383D">
      <w:pPr>
        <w:spacing w:after="123" w:line="259" w:lineRule="auto"/>
        <w:ind w:left="10"/>
      </w:pPr>
      <w:r>
        <w:rPr>
          <w:b/>
        </w:rPr>
        <w:t>MATERIAL PARA CONSULTA:</w:t>
      </w:r>
      <w:r>
        <w:t xml:space="preserve"> </w:t>
      </w:r>
    </w:p>
    <w:p w:rsidR="00280E5D" w:rsidRDefault="0057383D">
      <w:pPr>
        <w:ind w:left="-5"/>
      </w:pPr>
      <w:r>
        <w:t xml:space="preserve">Reglamentación Vigente: Capítulo IV del Código Alimentario Argentino y Normas MERCOSUR. </w:t>
      </w:r>
    </w:p>
    <w:p w:rsidR="00280E5D" w:rsidRDefault="0057383D">
      <w:pPr>
        <w:spacing w:after="20" w:line="259" w:lineRule="auto"/>
        <w:ind w:left="0" w:firstLine="0"/>
        <w:jc w:val="left"/>
      </w:pPr>
      <w:r>
        <w:t xml:space="preserve"> </w:t>
      </w:r>
    </w:p>
    <w:p w:rsidR="00280E5D" w:rsidRDefault="0057383D">
      <w:pPr>
        <w:spacing w:after="0" w:line="259" w:lineRule="auto"/>
        <w:ind w:left="10" w:right="4"/>
        <w:jc w:val="center"/>
      </w:pPr>
      <w:r>
        <w:rPr>
          <w:color w:val="FF0000"/>
        </w:rPr>
        <w:t>ESTA DIRECCIÓN  ANTE LA PARTICULARIDAD DE SU</w:t>
      </w:r>
      <w:r>
        <w:t xml:space="preserve"> </w:t>
      </w:r>
    </w:p>
    <w:p w:rsidR="00280E5D" w:rsidRDefault="0057383D">
      <w:pPr>
        <w:spacing w:after="0" w:line="259" w:lineRule="auto"/>
        <w:ind w:left="10" w:right="8"/>
        <w:jc w:val="center"/>
      </w:pPr>
      <w:r>
        <w:rPr>
          <w:color w:val="FF0000"/>
        </w:rPr>
        <w:t>TRÁMITE PODRÁ REQUERIR OTRA DOCUMENTACIÓN</w:t>
      </w:r>
      <w:r>
        <w:t xml:space="preserve"> </w:t>
      </w:r>
    </w:p>
    <w:tbl>
      <w:tblPr>
        <w:tblStyle w:val="TableGrid"/>
        <w:tblW w:w="9046" w:type="dxa"/>
        <w:tblInd w:w="-198" w:type="dxa"/>
        <w:tblCellMar>
          <w:top w:w="140" w:type="dxa"/>
          <w:left w:w="198" w:type="dxa"/>
          <w:right w:w="115" w:type="dxa"/>
        </w:tblCellMar>
        <w:tblLook w:val="04A0" w:firstRow="1" w:lastRow="0" w:firstColumn="1" w:lastColumn="0" w:noHBand="0" w:noVBand="1"/>
      </w:tblPr>
      <w:tblGrid>
        <w:gridCol w:w="9046"/>
      </w:tblGrid>
      <w:tr w:rsidR="00280E5D" w:rsidTr="00083CE7">
        <w:trPr>
          <w:trHeight w:val="1228"/>
        </w:trPr>
        <w:tc>
          <w:tcPr>
            <w:tcW w:w="9046" w:type="dxa"/>
            <w:tcBorders>
              <w:top w:val="single" w:sz="20" w:space="0" w:color="FF0000"/>
              <w:left w:val="single" w:sz="20" w:space="0" w:color="FF0000"/>
              <w:bottom w:val="single" w:sz="20" w:space="0" w:color="FF0000"/>
              <w:right w:val="single" w:sz="20" w:space="0" w:color="FF0000"/>
            </w:tcBorders>
          </w:tcPr>
          <w:p w:rsidR="00280E5D" w:rsidRDefault="0057383D">
            <w:pPr>
              <w:spacing w:after="0" w:line="340" w:lineRule="auto"/>
              <w:ind w:left="0" w:firstLine="0"/>
              <w:jc w:val="center"/>
            </w:pPr>
            <w:r>
              <w:rPr>
                <w:b/>
                <w:i/>
                <w:color w:val="FF0000"/>
                <w:sz w:val="22"/>
              </w:rPr>
              <w:t>Se le recuerda que de no registrarse presentación alguna por parte</w:t>
            </w: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37"/>
                <w:vertAlign w:val="subscript"/>
              </w:rPr>
              <w:tab/>
            </w:r>
            <w:r>
              <w:rPr>
                <w:b/>
                <w:i/>
                <w:color w:val="FF0000"/>
                <w:sz w:val="22"/>
              </w:rPr>
              <w:t xml:space="preserve"> del ciudadano posterior a 3 meses a la fecha de emisión de criterio de la Dirección, se procederá al archivo del trámite </w:t>
            </w:r>
          </w:p>
          <w:p w:rsidR="00280E5D" w:rsidRDefault="0057383D" w:rsidP="00083CE7">
            <w:pPr>
              <w:spacing w:after="264" w:line="216" w:lineRule="auto"/>
              <w:ind w:left="2713" w:right="2795" w:hanging="2713"/>
              <w:jc w:val="left"/>
            </w:pPr>
            <w:r>
              <w:t xml:space="preserve"> </w:t>
            </w:r>
            <w:proofErr w:type="gramStart"/>
            <w:r w:rsidR="00083CE7">
              <w:rPr>
                <w:b/>
                <w:i/>
                <w:color w:val="FF0000"/>
                <w:sz w:val="22"/>
              </w:rPr>
              <w:t>conforme</w:t>
            </w:r>
            <w:proofErr w:type="gramEnd"/>
            <w:r>
              <w:rPr>
                <w:b/>
                <w:i/>
                <w:color w:val="FF0000"/>
                <w:sz w:val="22"/>
              </w:rPr>
              <w:t xml:space="preserve"> al art. 113 de la ley 5350. </w:t>
            </w:r>
          </w:p>
        </w:tc>
      </w:tr>
    </w:tbl>
    <w:p w:rsidR="000F6D67" w:rsidRDefault="000F6D67" w:rsidP="00083CE7">
      <w:pPr>
        <w:ind w:left="0" w:firstLine="0"/>
      </w:pPr>
    </w:p>
    <w:sectPr w:rsidR="000F6D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9" w:right="1698" w:bottom="1957" w:left="1702" w:header="41" w:footer="1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E7" w:rsidRDefault="00083CE7">
      <w:pPr>
        <w:spacing w:after="0" w:line="240" w:lineRule="auto"/>
      </w:pPr>
      <w:r>
        <w:separator/>
      </w:r>
    </w:p>
  </w:endnote>
  <w:endnote w:type="continuationSeparator" w:id="0">
    <w:p w:rsidR="00083CE7" w:rsidRDefault="000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7" w:rsidRDefault="00083CE7">
    <w:pPr>
      <w:spacing w:after="667" w:line="238" w:lineRule="auto"/>
      <w:ind w:left="1318" w:right="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1075944</wp:posOffset>
          </wp:positionH>
          <wp:positionV relativeFrom="page">
            <wp:posOffset>9232392</wp:posOffset>
          </wp:positionV>
          <wp:extent cx="5658613" cy="30480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3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404040"/>
        <w:sz w:val="16"/>
      </w:rPr>
      <w:t xml:space="preserve">Av. General Paz N°70, ciudad de Córdoba – T.E.: + 54 351 4266400 www.cba.gov.ar - proteccionalimentos@cba.gov.ar </w:t>
    </w:r>
  </w:p>
  <w:p w:rsidR="00083CE7" w:rsidRDefault="00083CE7">
    <w:pPr>
      <w:spacing w:after="15" w:line="259" w:lineRule="auto"/>
      <w:ind w:left="0" w:right="-51" w:firstLine="0"/>
      <w:jc w:val="right"/>
    </w:pPr>
    <w:r>
      <w:rPr>
        <w:rFonts w:ascii="Arial" w:eastAsia="Arial" w:hAnsi="Arial" w:cs="Arial"/>
        <w:b/>
        <w:color w:val="262626"/>
        <w:sz w:val="19"/>
      </w:rPr>
      <w:t xml:space="preserve"> </w:t>
    </w:r>
  </w:p>
  <w:p w:rsidR="00083CE7" w:rsidRDefault="00083CE7">
    <w:pPr>
      <w:spacing w:after="0" w:line="259" w:lineRule="auto"/>
      <w:ind w:left="0" w:right="-49" w:firstLine="0"/>
      <w:jc w:val="right"/>
    </w:pPr>
    <w:r>
      <w:rPr>
        <w:color w:val="262626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7" w:rsidRDefault="00083CE7">
    <w:pPr>
      <w:spacing w:after="667" w:line="238" w:lineRule="auto"/>
      <w:ind w:left="1318" w:right="2" w:firstLine="0"/>
      <w:jc w:val="right"/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7C4D2D2D" wp14:editId="37CB0139">
          <wp:simplePos x="0" y="0"/>
          <wp:positionH relativeFrom="page">
            <wp:posOffset>302294</wp:posOffset>
          </wp:positionH>
          <wp:positionV relativeFrom="paragraph">
            <wp:posOffset>285184</wp:posOffset>
          </wp:positionV>
          <wp:extent cx="6629400" cy="1143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29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color w:val="404040"/>
        <w:sz w:val="16"/>
      </w:rPr>
      <w:t xml:space="preserve">Av. General Paz N°70, ciudad de Córdoba – T.E.: + 54 351 4266400 www.cba.gov.ar - proteccionalimentos@cba.gov.ar </w:t>
    </w:r>
  </w:p>
  <w:p w:rsidR="00083CE7" w:rsidRDefault="00083CE7">
    <w:pPr>
      <w:spacing w:after="15" w:line="259" w:lineRule="auto"/>
      <w:ind w:left="0" w:right="-51" w:firstLine="0"/>
      <w:jc w:val="right"/>
    </w:pPr>
    <w:r>
      <w:rPr>
        <w:rFonts w:ascii="Arial" w:eastAsia="Arial" w:hAnsi="Arial" w:cs="Arial"/>
        <w:b/>
        <w:color w:val="262626"/>
        <w:sz w:val="19"/>
      </w:rPr>
      <w:t xml:space="preserve"> </w:t>
    </w:r>
  </w:p>
  <w:p w:rsidR="00083CE7" w:rsidRDefault="00083CE7">
    <w:pPr>
      <w:spacing w:after="0" w:line="259" w:lineRule="auto"/>
      <w:ind w:left="0" w:right="-49" w:firstLine="0"/>
      <w:jc w:val="right"/>
    </w:pPr>
    <w:r>
      <w:rPr>
        <w:color w:val="262626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7" w:rsidRDefault="00083CE7">
    <w:pPr>
      <w:spacing w:after="667" w:line="238" w:lineRule="auto"/>
      <w:ind w:left="1318" w:right="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1075944</wp:posOffset>
          </wp:positionH>
          <wp:positionV relativeFrom="page">
            <wp:posOffset>9232392</wp:posOffset>
          </wp:positionV>
          <wp:extent cx="5658613" cy="304800"/>
          <wp:effectExtent l="0" t="0" r="0" b="0"/>
          <wp:wrapSquare wrapText="bothSides"/>
          <wp:docPr id="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8613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404040"/>
        <w:sz w:val="16"/>
      </w:rPr>
      <w:t xml:space="preserve">Av. General Paz N°70, ciudad de Córdoba – T.E.: + 54 351 4266400 www.cba.gov.ar - proteccionalimentos@cba.gov.ar </w:t>
    </w:r>
  </w:p>
  <w:p w:rsidR="00083CE7" w:rsidRDefault="00083CE7">
    <w:pPr>
      <w:spacing w:after="15" w:line="259" w:lineRule="auto"/>
      <w:ind w:left="0" w:right="-51" w:firstLine="0"/>
      <w:jc w:val="right"/>
    </w:pPr>
    <w:r>
      <w:rPr>
        <w:rFonts w:ascii="Arial" w:eastAsia="Arial" w:hAnsi="Arial" w:cs="Arial"/>
        <w:b/>
        <w:color w:val="262626"/>
        <w:sz w:val="19"/>
      </w:rPr>
      <w:t xml:space="preserve"> </w:t>
    </w:r>
  </w:p>
  <w:p w:rsidR="00083CE7" w:rsidRDefault="00083CE7">
    <w:pPr>
      <w:spacing w:after="0" w:line="259" w:lineRule="auto"/>
      <w:ind w:left="0" w:right="-49" w:firstLine="0"/>
      <w:jc w:val="right"/>
    </w:pPr>
    <w:r>
      <w:rPr>
        <w:color w:val="262626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E7" w:rsidRDefault="00083CE7">
      <w:pPr>
        <w:spacing w:after="0" w:line="240" w:lineRule="auto"/>
      </w:pPr>
      <w:r>
        <w:separator/>
      </w:r>
    </w:p>
  </w:footnote>
  <w:footnote w:type="continuationSeparator" w:id="0">
    <w:p w:rsidR="00083CE7" w:rsidRDefault="000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7" w:rsidRDefault="00083CE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1080516</wp:posOffset>
          </wp:positionH>
          <wp:positionV relativeFrom="page">
            <wp:posOffset>320040</wp:posOffset>
          </wp:positionV>
          <wp:extent cx="5611368" cy="405384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368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7" w:rsidRDefault="00083CE7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1FE18C27" wp14:editId="2ACA737C">
          <wp:simplePos x="0" y="0"/>
          <wp:positionH relativeFrom="page">
            <wp:posOffset>672997</wp:posOffset>
          </wp:positionH>
          <wp:positionV relativeFrom="paragraph">
            <wp:posOffset>308696</wp:posOffset>
          </wp:positionV>
          <wp:extent cx="6805930" cy="6477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E7" w:rsidRDefault="00083CE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1080516</wp:posOffset>
          </wp:positionH>
          <wp:positionV relativeFrom="page">
            <wp:posOffset>320040</wp:posOffset>
          </wp:positionV>
          <wp:extent cx="5611368" cy="405384"/>
          <wp:effectExtent l="0" t="0" r="0" b="0"/>
          <wp:wrapSquare wrapText="bothSides"/>
          <wp:docPr id="2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1368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A8C"/>
    <w:multiLevelType w:val="hybridMultilevel"/>
    <w:tmpl w:val="56883792"/>
    <w:lvl w:ilvl="0" w:tplc="45400FD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217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210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21F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66C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067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38A3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ED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89F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06585D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2923A8"/>
    <w:multiLevelType w:val="multilevel"/>
    <w:tmpl w:val="25FA44A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20FA0"/>
    <w:multiLevelType w:val="multilevel"/>
    <w:tmpl w:val="25FA44A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A13DB6"/>
    <w:multiLevelType w:val="hybridMultilevel"/>
    <w:tmpl w:val="532E5C90"/>
    <w:lvl w:ilvl="0" w:tplc="77FC6A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6BC84">
      <w:start w:val="1"/>
      <w:numFmt w:val="bullet"/>
      <w:lvlText w:val="o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69424">
      <w:start w:val="1"/>
      <w:numFmt w:val="bullet"/>
      <w:lvlRestart w:val="0"/>
      <w:lvlText w:val="●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A66DE">
      <w:start w:val="1"/>
      <w:numFmt w:val="bullet"/>
      <w:lvlText w:val="•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00EFC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63F7A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42DD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496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CD9DC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092B7A"/>
    <w:multiLevelType w:val="hybridMultilevel"/>
    <w:tmpl w:val="4F98D3E0"/>
    <w:lvl w:ilvl="0" w:tplc="DBEEEDD2">
      <w:start w:val="1"/>
      <w:numFmt w:val="bullet"/>
      <w:lvlText w:val="●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C39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4A6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2CB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267C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2A3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A66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016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26B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D53304"/>
    <w:multiLevelType w:val="hybridMultilevel"/>
    <w:tmpl w:val="D020F250"/>
    <w:lvl w:ilvl="0" w:tplc="9AB472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C623E">
      <w:start w:val="1"/>
      <w:numFmt w:val="lowerLetter"/>
      <w:lvlText w:val="%2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C5C8">
      <w:start w:val="1"/>
      <w:numFmt w:val="lowerLetter"/>
      <w:lvlRestart w:val="0"/>
      <w:lvlText w:val="%3)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62ECC">
      <w:start w:val="1"/>
      <w:numFmt w:val="decimal"/>
      <w:lvlText w:val="%4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65AF6">
      <w:start w:val="1"/>
      <w:numFmt w:val="lowerLetter"/>
      <w:lvlText w:val="%5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F0D8">
      <w:start w:val="1"/>
      <w:numFmt w:val="lowerRoman"/>
      <w:lvlText w:val="%6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E03E8">
      <w:start w:val="1"/>
      <w:numFmt w:val="decimal"/>
      <w:lvlText w:val="%7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CC8EC">
      <w:start w:val="1"/>
      <w:numFmt w:val="lowerLetter"/>
      <w:lvlText w:val="%8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CB1C4">
      <w:start w:val="1"/>
      <w:numFmt w:val="lowerRoman"/>
      <w:lvlText w:val="%9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8424FA"/>
    <w:multiLevelType w:val="hybridMultilevel"/>
    <w:tmpl w:val="ABC411B8"/>
    <w:lvl w:ilvl="0" w:tplc="0D306C68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C575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E82E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A7E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973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8791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46E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2F43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8563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2C7C12"/>
    <w:multiLevelType w:val="hybridMultilevel"/>
    <w:tmpl w:val="26E21826"/>
    <w:lvl w:ilvl="0" w:tplc="EF3EB9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44B6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4D6E2">
      <w:start w:val="1"/>
      <w:numFmt w:val="lowerLetter"/>
      <w:lvlRestart w:val="0"/>
      <w:lvlText w:val="%3)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6944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CC2C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07AA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6580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A9CD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6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904E0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586239"/>
    <w:multiLevelType w:val="hybridMultilevel"/>
    <w:tmpl w:val="E04AF486"/>
    <w:lvl w:ilvl="0" w:tplc="697C3FD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CE52C">
      <w:start w:val="1"/>
      <w:numFmt w:val="bullet"/>
      <w:lvlText w:val="o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86F5A">
      <w:start w:val="1"/>
      <w:numFmt w:val="bullet"/>
      <w:lvlRestart w:val="0"/>
      <w:lvlText w:val="●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A9036">
      <w:start w:val="1"/>
      <w:numFmt w:val="bullet"/>
      <w:lvlText w:val="•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6FBAE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CB736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6699E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21A9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ED5E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C77C48"/>
    <w:multiLevelType w:val="multilevel"/>
    <w:tmpl w:val="49BADFE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5D"/>
    <w:rsid w:val="00083CE7"/>
    <w:rsid w:val="000F6D67"/>
    <w:rsid w:val="00280E5D"/>
    <w:rsid w:val="00517491"/>
    <w:rsid w:val="0057383D"/>
    <w:rsid w:val="00A73223"/>
    <w:rsid w:val="00B8305B"/>
    <w:rsid w:val="00BF789A"/>
    <w:rsid w:val="00C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B1AE07-D5CB-473F-9E62-5643D66A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1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"/>
      <w:ind w:left="2177"/>
      <w:outlineLvl w:val="0"/>
    </w:pPr>
    <w:rPr>
      <w:rFonts w:ascii="Calibri" w:eastAsia="Calibri" w:hAnsi="Calibri" w:cs="Calibri"/>
      <w:color w:val="0000F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8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s.cba.gov.a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rs.cba.gov.a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s.cba.gov.ar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Luciana Cordon</dc:creator>
  <cp:keywords/>
  <cp:lastModifiedBy>Paola Gianfrancesco</cp:lastModifiedBy>
  <cp:revision>7</cp:revision>
  <dcterms:created xsi:type="dcterms:W3CDTF">2020-02-07T12:01:00Z</dcterms:created>
  <dcterms:modified xsi:type="dcterms:W3CDTF">2021-01-07T16:45:00Z</dcterms:modified>
</cp:coreProperties>
</file>